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C4" w:rsidRDefault="00961FF5" w:rsidP="00961FF5">
      <w:pPr>
        <w:spacing w:after="0"/>
        <w:jc w:val="center"/>
      </w:pPr>
      <w:r>
        <w:t>Fiscal Yea</w:t>
      </w:r>
      <w:r w:rsidR="004F5CC4">
        <w:t>r 201</w:t>
      </w:r>
      <w:r w:rsidR="000C0A03">
        <w:t>4</w:t>
      </w:r>
      <w:r w:rsidR="004F5CC4">
        <w:t xml:space="preserve"> Transportation Alternatives Application Cycle</w:t>
      </w:r>
    </w:p>
    <w:p w:rsidR="004F5CC4" w:rsidRDefault="004F5CC4" w:rsidP="00961FF5">
      <w:pPr>
        <w:spacing w:after="0"/>
        <w:jc w:val="center"/>
      </w:pPr>
      <w:r>
        <w:t>FY 201</w:t>
      </w:r>
      <w:r w:rsidR="000C0A03">
        <w:t>7</w:t>
      </w:r>
      <w:r>
        <w:t>-201</w:t>
      </w:r>
      <w:r w:rsidR="000C0A03">
        <w:t>8</w:t>
      </w:r>
      <w:r>
        <w:t xml:space="preserve"> Tentative Work Program</w:t>
      </w:r>
    </w:p>
    <w:p w:rsidR="00961FF5" w:rsidRDefault="00961FF5" w:rsidP="00961FF5">
      <w:pPr>
        <w:spacing w:after="0"/>
        <w:jc w:val="center"/>
      </w:pPr>
      <w:r>
        <w:t>February 7, 2014</w:t>
      </w:r>
    </w:p>
    <w:p w:rsidR="004F5CC4" w:rsidRDefault="004F5CC4" w:rsidP="00AC18BD">
      <w:pPr>
        <w:spacing w:after="0"/>
        <w:jc w:val="both"/>
      </w:pPr>
      <w:r>
        <w:t xml:space="preserve"> </w:t>
      </w:r>
    </w:p>
    <w:p w:rsidR="004F5CC4" w:rsidRDefault="00961FF5" w:rsidP="00AC18BD">
      <w:pPr>
        <w:spacing w:after="0"/>
        <w:jc w:val="both"/>
      </w:pPr>
      <w:r>
        <w:t>The Florida Department of Transportation is pleased t</w:t>
      </w:r>
      <w:r w:rsidR="004F5CC4">
        <w:t>o notify you of the upcoming Transportation Alternatives Application Cycle for FY 201</w:t>
      </w:r>
      <w:r w:rsidR="000C0A03">
        <w:t>7</w:t>
      </w:r>
      <w:r w:rsidR="004F5CC4">
        <w:t>-201</w:t>
      </w:r>
      <w:r w:rsidR="000C0A03">
        <w:t>8</w:t>
      </w:r>
      <w:r w:rsidR="004F5CC4">
        <w:t xml:space="preserve"> Tentative Work Program.  Projects programmed for this cycle will be funded in FY 1</w:t>
      </w:r>
      <w:r w:rsidR="001C5575">
        <w:t>7</w:t>
      </w:r>
      <w:r w:rsidR="004F5CC4">
        <w:t>/1</w:t>
      </w:r>
      <w:r w:rsidR="001C5575">
        <w:t>8</w:t>
      </w:r>
      <w:r w:rsidR="004F5CC4">
        <w:t xml:space="preserve">. </w:t>
      </w:r>
    </w:p>
    <w:p w:rsidR="004F5CC4" w:rsidRDefault="004F5CC4" w:rsidP="00AC18BD">
      <w:pPr>
        <w:spacing w:after="0"/>
        <w:jc w:val="both"/>
      </w:pPr>
      <w:r>
        <w:t xml:space="preserve"> </w:t>
      </w:r>
    </w:p>
    <w:p w:rsidR="004F5CC4" w:rsidRPr="00961FF5" w:rsidRDefault="004F5CC4" w:rsidP="00AC18BD">
      <w:pPr>
        <w:spacing w:after="0"/>
        <w:jc w:val="both"/>
        <w:rPr>
          <w:b/>
        </w:rPr>
      </w:pPr>
      <w:r w:rsidRPr="00961FF5">
        <w:rPr>
          <w:b/>
        </w:rPr>
        <w:t xml:space="preserve">General Information: </w:t>
      </w:r>
    </w:p>
    <w:p w:rsidR="004F5CC4" w:rsidRDefault="004F5CC4" w:rsidP="00AC18BD">
      <w:pPr>
        <w:spacing w:after="0"/>
        <w:jc w:val="both"/>
      </w:pPr>
      <w:r>
        <w:t xml:space="preserve">The Transportation Alternatives Program (TAP) authorized under Section 1122 of MAP-21 (23 U.S.C. 213(b), 101(a)(29)) provides funding for programs and projects defined as transportation alternatives, including on- and off-road pedestrian and bicycle facilities, infrastructure projects for improving non-driver access to public transportation and enhanced mobility, community improvement activities, and environmental mitigation; recreational trail program projects; safe routes to school projects; and projects for the planning, design or construction of boulevards and other roadways largely in the right-of-way of former Interstate System routes or other divided highways </w:t>
      </w:r>
    </w:p>
    <w:p w:rsidR="004F5CC4" w:rsidRDefault="004F5CC4" w:rsidP="00AC18BD">
      <w:pPr>
        <w:spacing w:after="0"/>
        <w:jc w:val="both"/>
      </w:pPr>
    </w:p>
    <w:p w:rsidR="004F5CC4" w:rsidRDefault="004F5CC4" w:rsidP="00AC18BD">
      <w:pPr>
        <w:spacing w:after="0"/>
        <w:jc w:val="both"/>
      </w:pPr>
      <w:r>
        <w:t xml:space="preserve">Funding for this cycle: </w:t>
      </w:r>
    </w:p>
    <w:p w:rsidR="00F74819" w:rsidRDefault="004F5CC4" w:rsidP="00AC18BD">
      <w:pPr>
        <w:spacing w:after="0"/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066"/>
        <w:gridCol w:w="1039"/>
        <w:gridCol w:w="1912"/>
      </w:tblGrid>
      <w:tr w:rsidR="00F74819" w:rsidRPr="00F74819" w:rsidTr="00AC18BD">
        <w:trPr>
          <w:trHeight w:val="233"/>
          <w:jc w:val="center"/>
        </w:trPr>
        <w:tc>
          <w:tcPr>
            <w:tcW w:w="1404" w:type="dxa"/>
            <w:vMerge w:val="restart"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Broward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County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TALU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 2,233,872.00</w:t>
            </w:r>
          </w:p>
        </w:tc>
      </w:tr>
      <w:tr w:rsidR="00F74819" w:rsidRPr="00F74819" w:rsidTr="00AC18BD">
        <w:trPr>
          <w:trHeight w:val="196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FDOT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TALT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 2,173,877.50</w:t>
            </w:r>
          </w:p>
        </w:tc>
      </w:tr>
      <w:tr w:rsidR="00F74819" w:rsidRPr="00F74819" w:rsidTr="00AC18BD">
        <w:trPr>
          <w:trHeight w:val="169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$           4,407,749.50</w:t>
            </w:r>
          </w:p>
        </w:tc>
      </w:tr>
      <w:tr w:rsidR="00F74819" w:rsidRPr="00F74819" w:rsidTr="00AC18BD">
        <w:trPr>
          <w:trHeight w:val="142"/>
          <w:jc w:val="center"/>
        </w:trPr>
        <w:tc>
          <w:tcPr>
            <w:tcW w:w="1404" w:type="dxa"/>
            <w:vMerge w:val="restart"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Palm Beach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County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TALU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 1,590,988.00</w:t>
            </w:r>
          </w:p>
        </w:tc>
      </w:tr>
      <w:tr w:rsidR="00F74819" w:rsidRPr="00F74819" w:rsidTr="00AC18BD">
        <w:trPr>
          <w:trHeight w:val="196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FDOT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TALT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 1,568,719.54</w:t>
            </w:r>
          </w:p>
        </w:tc>
      </w:tr>
      <w:tr w:rsidR="00F74819" w:rsidRPr="00F74819" w:rsidTr="00AC18BD">
        <w:trPr>
          <w:trHeight w:val="169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$           3,159,707.54</w:t>
            </w:r>
          </w:p>
        </w:tc>
      </w:tr>
      <w:tr w:rsidR="00F74819" w:rsidRPr="00F74819" w:rsidTr="00AC18BD">
        <w:trPr>
          <w:trHeight w:val="232"/>
          <w:jc w:val="center"/>
        </w:trPr>
        <w:tc>
          <w:tcPr>
            <w:tcW w:w="1404" w:type="dxa"/>
            <w:vMerge w:val="restart"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Martin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County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TALU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 168,589.00</w:t>
            </w:r>
          </w:p>
        </w:tc>
      </w:tr>
      <w:tr w:rsidR="00F74819" w:rsidRPr="00F74819" w:rsidTr="00AC18BD">
        <w:trPr>
          <w:trHeight w:val="196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FDOT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TALT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 191,264.76</w:t>
            </w:r>
          </w:p>
        </w:tc>
      </w:tr>
      <w:tr w:rsidR="00F74819" w:rsidRPr="00F74819" w:rsidTr="00AC18BD">
        <w:trPr>
          <w:trHeight w:val="169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$   </w:t>
            </w:r>
            <w:r w:rsidR="001C5575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           359,853.76</w:t>
            </w:r>
          </w:p>
        </w:tc>
      </w:tr>
      <w:tr w:rsidR="00F74819" w:rsidRPr="00F74819" w:rsidTr="00AC18BD">
        <w:trPr>
          <w:trHeight w:val="232"/>
          <w:jc w:val="center"/>
        </w:trPr>
        <w:tc>
          <w:tcPr>
            <w:tcW w:w="1404" w:type="dxa"/>
            <w:vMerge w:val="restart"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St. Lucie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County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TALU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 304,977.00</w:t>
            </w:r>
          </w:p>
        </w:tc>
      </w:tr>
      <w:tr w:rsidR="00F74819" w:rsidRPr="00F74819" w:rsidTr="00AC18BD">
        <w:trPr>
          <w:trHeight w:val="196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FDOT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TALT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 345,938.58</w:t>
            </w:r>
          </w:p>
        </w:tc>
      </w:tr>
      <w:tr w:rsidR="00F74819" w:rsidRPr="00F74819" w:rsidTr="00AC18BD">
        <w:trPr>
          <w:trHeight w:val="169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$        </w:t>
            </w:r>
            <w:r w:rsidR="001C5575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      650,915.58</w:t>
            </w:r>
          </w:p>
        </w:tc>
      </w:tr>
      <w:tr w:rsidR="00F74819" w:rsidRPr="00F74819" w:rsidTr="00AC18BD">
        <w:trPr>
          <w:trHeight w:val="232"/>
          <w:jc w:val="center"/>
        </w:trPr>
        <w:tc>
          <w:tcPr>
            <w:tcW w:w="1404" w:type="dxa"/>
            <w:vMerge w:val="restart"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Indian River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County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 177,123.00</w:t>
            </w:r>
          </w:p>
        </w:tc>
      </w:tr>
      <w:tr w:rsidR="00F74819" w:rsidRPr="00F74819" w:rsidTr="00AC18BD">
        <w:trPr>
          <w:trHeight w:val="196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TALN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   93,138.00</w:t>
            </w:r>
          </w:p>
        </w:tc>
      </w:tr>
      <w:tr w:rsidR="00F74819" w:rsidRPr="00F74819" w:rsidTr="00AC18BD">
        <w:trPr>
          <w:trHeight w:val="34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FDOT Allocation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TALT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sz w:val="20"/>
                <w:szCs w:val="20"/>
              </w:rPr>
              <w:t>$               187,913.94</w:t>
            </w:r>
          </w:p>
        </w:tc>
      </w:tr>
      <w:tr w:rsidR="00F74819" w:rsidRPr="00F74819" w:rsidTr="00AC18BD">
        <w:trPr>
          <w:trHeight w:val="232"/>
          <w:jc w:val="center"/>
        </w:trPr>
        <w:tc>
          <w:tcPr>
            <w:tcW w:w="1404" w:type="dxa"/>
            <w:vMerge/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AC18B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819" w:rsidRPr="00F74819" w:rsidRDefault="00F74819" w:rsidP="001C55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>$       </w:t>
            </w:r>
            <w:r w:rsidR="001C5575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F74819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       </w:t>
            </w:r>
            <w:r w:rsidR="001C5575">
              <w:rPr>
                <w:rFonts w:eastAsia="Calibri" w:cs="Times New Roman"/>
                <w:b/>
                <w:bCs/>
                <w:sz w:val="20"/>
                <w:szCs w:val="20"/>
              </w:rPr>
              <w:t>458,174.94</w:t>
            </w:r>
          </w:p>
        </w:tc>
      </w:tr>
    </w:tbl>
    <w:p w:rsidR="004F5CC4" w:rsidRDefault="004F5CC4" w:rsidP="00AC18BD">
      <w:pPr>
        <w:spacing w:after="0"/>
        <w:jc w:val="both"/>
      </w:pPr>
      <w:r>
        <w:t xml:space="preserve">Notes: </w:t>
      </w:r>
    </w:p>
    <w:p w:rsidR="00F60A98" w:rsidRDefault="004F5CC4" w:rsidP="00AC18B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The funding above is estimat</w:t>
      </w:r>
      <w:r w:rsidR="000C0A03">
        <w:t xml:space="preserve">ed allotment from FHWA, and is </w:t>
      </w:r>
      <w:r>
        <w:t>subject to change.</w:t>
      </w:r>
      <w:r w:rsidR="00F60A98" w:rsidRPr="00F60A98">
        <w:t xml:space="preserve"> </w:t>
      </w:r>
    </w:p>
    <w:p w:rsidR="00F60A98" w:rsidRDefault="00F60A98" w:rsidP="00AC18B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lastRenderedPageBreak/>
        <w:t>The program, and thus each project</w:t>
      </w:r>
      <w:r w:rsidR="00B77CFC">
        <w:t>,</w:t>
      </w:r>
      <w:r>
        <w:t xml:space="preserve"> must be “self sustaining” and as such, the following items must be accounted for in the total project funding: </w:t>
      </w:r>
    </w:p>
    <w:p w:rsidR="00F60A98" w:rsidRDefault="00F60A98" w:rsidP="00AC18BD">
      <w:pPr>
        <w:pStyle w:val="ListParagraph"/>
        <w:numPr>
          <w:ilvl w:val="0"/>
          <w:numId w:val="2"/>
        </w:numPr>
        <w:spacing w:after="0"/>
      </w:pPr>
      <w:r>
        <w:t xml:space="preserve">Phase 31 – FDOT project design support (all projects) - $5,000 or $7,000 for critical projects </w:t>
      </w:r>
    </w:p>
    <w:p w:rsidR="00F60A98" w:rsidRDefault="00F60A98" w:rsidP="00AC18BD">
      <w:pPr>
        <w:pStyle w:val="ListParagraph"/>
        <w:numPr>
          <w:ilvl w:val="0"/>
          <w:numId w:val="2"/>
        </w:numPr>
        <w:spacing w:after="0"/>
      </w:pPr>
      <w:r>
        <w:t xml:space="preserve">Phase 61 – FDOT project construction support (all projects)  - $5,000 or $7,000 for critical projects </w:t>
      </w:r>
    </w:p>
    <w:p w:rsidR="00F60A98" w:rsidRDefault="00F60A98" w:rsidP="00AC18BD">
      <w:pPr>
        <w:pStyle w:val="ListParagraph"/>
        <w:numPr>
          <w:ilvl w:val="0"/>
          <w:numId w:val="2"/>
        </w:numPr>
        <w:spacing w:after="0"/>
      </w:pPr>
      <w:r>
        <w:t>Phase 62 – 3% of</w:t>
      </w:r>
      <w:r w:rsidR="00961FF5">
        <w:t xml:space="preserve"> TOTAL</w:t>
      </w:r>
      <w:r>
        <w:t xml:space="preserve"> construction estimate – FDOT Oversight CEI (all projects) </w:t>
      </w:r>
    </w:p>
    <w:p w:rsidR="00F60A98" w:rsidRDefault="00AC18BD" w:rsidP="00AC18BD">
      <w:pPr>
        <w:pStyle w:val="ListParagraph"/>
        <w:numPr>
          <w:ilvl w:val="0"/>
          <w:numId w:val="2"/>
        </w:numPr>
        <w:spacing w:after="0"/>
      </w:pPr>
      <w:r>
        <w:t xml:space="preserve">Phase </w:t>
      </w:r>
      <w:r w:rsidR="00F60A98">
        <w:t xml:space="preserve">58 – construction costs (FHWA/FDOT as well as local fund contribution) </w:t>
      </w:r>
    </w:p>
    <w:p w:rsidR="00F60A98" w:rsidRDefault="00F60A98" w:rsidP="00AC18BD">
      <w:pPr>
        <w:pStyle w:val="ListParagraph"/>
        <w:numPr>
          <w:ilvl w:val="0"/>
          <w:numId w:val="2"/>
        </w:numPr>
        <w:spacing w:after="0"/>
      </w:pPr>
      <w:r>
        <w:t xml:space="preserve">Phase 68 – 12% of phase 58 (max) for local agency CEI (optional) </w:t>
      </w:r>
    </w:p>
    <w:p w:rsidR="00F60A98" w:rsidRDefault="00F60A98" w:rsidP="00AC18BD">
      <w:pPr>
        <w:spacing w:after="0"/>
        <w:jc w:val="both"/>
      </w:pPr>
    </w:p>
    <w:p w:rsidR="00CE3B33" w:rsidRDefault="00F60A98" w:rsidP="00AC18BD">
      <w:pPr>
        <w:spacing w:after="0"/>
        <w:jc w:val="both"/>
      </w:pPr>
      <w:r>
        <w:t>All of these project phases are added to equal the amount of funding awarded for a project and are shown on the application and cost estimate.</w:t>
      </w:r>
    </w:p>
    <w:p w:rsidR="00AC18BD" w:rsidRDefault="00AC18BD" w:rsidP="00AC18BD">
      <w:pPr>
        <w:spacing w:after="0"/>
        <w:jc w:val="both"/>
      </w:pPr>
    </w:p>
    <w:p w:rsidR="00AC18BD" w:rsidRPr="00AC18BD" w:rsidRDefault="00AC18BD" w:rsidP="00AC18BD">
      <w:pPr>
        <w:spacing w:after="0"/>
        <w:jc w:val="both"/>
        <w:rPr>
          <w:u w:val="single"/>
        </w:rPr>
      </w:pPr>
      <w:r w:rsidRPr="00AC18BD">
        <w:rPr>
          <w:u w:val="single"/>
        </w:rPr>
        <w:t xml:space="preserve">Certified Agencies: </w:t>
      </w:r>
    </w:p>
    <w:p w:rsidR="00AC18BD" w:rsidRDefault="00AC18BD" w:rsidP="00AC18BD">
      <w:pPr>
        <w:spacing w:after="0"/>
        <w:jc w:val="both"/>
      </w:pPr>
      <w:r>
        <w:t>There are two types of LAP certification currently in use; Full and Project Specific.</w:t>
      </w:r>
    </w:p>
    <w:p w:rsidR="00AC18BD" w:rsidRDefault="00AC18BD" w:rsidP="00AC18BD">
      <w:pPr>
        <w:spacing w:after="0"/>
        <w:jc w:val="both"/>
      </w:pPr>
      <w:r>
        <w:t xml:space="preserve">The 5 Counties carry the Full Certification.  All other entities must pursue Project Specific Certification.  More information on this topic can be found on our </w:t>
      </w:r>
      <w:hyperlink r:id="rId9" w:history="1">
        <w:r w:rsidRPr="00AC18BD">
          <w:rPr>
            <w:rStyle w:val="Hyperlink"/>
          </w:rPr>
          <w:t>District Internet site</w:t>
        </w:r>
      </w:hyperlink>
      <w:r>
        <w:t>.  Project Specific Certification documents are not required at the time of application.</w:t>
      </w:r>
    </w:p>
    <w:p w:rsidR="00AC18BD" w:rsidRDefault="00AC18BD" w:rsidP="00AC18BD">
      <w:pPr>
        <w:spacing w:after="0"/>
        <w:jc w:val="both"/>
      </w:pPr>
    </w:p>
    <w:p w:rsidR="00AC18BD" w:rsidRPr="00AC18BD" w:rsidRDefault="00AC18BD" w:rsidP="00AC18BD">
      <w:pPr>
        <w:spacing w:after="0"/>
        <w:jc w:val="both"/>
        <w:rPr>
          <w:u w:val="single"/>
        </w:rPr>
      </w:pPr>
      <w:r w:rsidRPr="00AC18BD">
        <w:rPr>
          <w:u w:val="single"/>
        </w:rPr>
        <w:t xml:space="preserve">How to Apply: </w:t>
      </w:r>
    </w:p>
    <w:p w:rsidR="00AC18BD" w:rsidRDefault="00AC18BD" w:rsidP="00AC18BD">
      <w:pPr>
        <w:spacing w:after="0"/>
        <w:jc w:val="both"/>
      </w:pPr>
      <w:bookmarkStart w:id="0" w:name="_GoBack"/>
      <w:bookmarkEnd w:id="0"/>
      <w:r>
        <w:t xml:space="preserve">The key to a successful project starts with a clear vision.  Each application package consists of all of the following submittal items: </w:t>
      </w:r>
    </w:p>
    <w:p w:rsidR="00AC18BD" w:rsidRDefault="00F2082E" w:rsidP="00AC18BD">
      <w:pPr>
        <w:pStyle w:val="ListParagraph"/>
        <w:numPr>
          <w:ilvl w:val="0"/>
          <w:numId w:val="3"/>
        </w:numPr>
        <w:spacing w:after="0"/>
        <w:jc w:val="both"/>
      </w:pPr>
      <w:r>
        <w:t>Completed application</w:t>
      </w:r>
      <w:r w:rsidR="00AC18BD">
        <w:t xml:space="preserve"> checklist </w:t>
      </w:r>
    </w:p>
    <w:p w:rsidR="00AC18BD" w:rsidRDefault="00F2082E" w:rsidP="00AC18BD">
      <w:pPr>
        <w:pStyle w:val="ListParagraph"/>
        <w:numPr>
          <w:ilvl w:val="0"/>
          <w:numId w:val="3"/>
        </w:numPr>
        <w:spacing w:after="0"/>
        <w:jc w:val="both"/>
      </w:pPr>
      <w:r>
        <w:t>Completed application</w:t>
      </w:r>
      <w:r w:rsidR="00AC18BD">
        <w:t xml:space="preserve"> (one PDF file) </w:t>
      </w:r>
    </w:p>
    <w:p w:rsidR="00AC18BD" w:rsidRDefault="00AC18BD" w:rsidP="00AC18BD">
      <w:pPr>
        <w:pStyle w:val="ListParagraph"/>
        <w:numPr>
          <w:ilvl w:val="0"/>
          <w:numId w:val="3"/>
        </w:numPr>
        <w:spacing w:after="0"/>
        <w:jc w:val="both"/>
      </w:pPr>
      <w:r>
        <w:t>Completed cost es</w:t>
      </w:r>
      <w:r w:rsidR="00F2082E">
        <w:t>timate using the revised format</w:t>
      </w:r>
      <w:r>
        <w:t xml:space="preserve"> (one Excel file) </w:t>
      </w:r>
    </w:p>
    <w:p w:rsidR="00AC18BD" w:rsidRDefault="00AC18BD" w:rsidP="00AC18BD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Location map on aerial depicting the project limits (one PDF file) </w:t>
      </w:r>
    </w:p>
    <w:p w:rsidR="00AC18BD" w:rsidRDefault="00AC18BD" w:rsidP="00AC18BD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Typical section (one PDF file) </w:t>
      </w:r>
    </w:p>
    <w:p w:rsidR="00FD68AB" w:rsidRDefault="00FD68AB" w:rsidP="00AC18BD">
      <w:pPr>
        <w:pStyle w:val="ListParagraph"/>
        <w:numPr>
          <w:ilvl w:val="0"/>
          <w:numId w:val="3"/>
        </w:numPr>
        <w:spacing w:after="0"/>
        <w:jc w:val="both"/>
      </w:pPr>
      <w:r>
        <w:t>Right-of-Way ownership verification (one PDF file)</w:t>
      </w:r>
    </w:p>
    <w:p w:rsidR="00961FF5" w:rsidRDefault="00961FF5" w:rsidP="009238FE">
      <w:pPr>
        <w:pStyle w:val="ListParagraph"/>
        <w:spacing w:after="0"/>
        <w:jc w:val="both"/>
      </w:pPr>
    </w:p>
    <w:p w:rsidR="00AC18BD" w:rsidRDefault="00AC18BD" w:rsidP="00AC18BD">
      <w:pPr>
        <w:spacing w:after="0"/>
        <w:jc w:val="both"/>
      </w:pPr>
      <w:r>
        <w:t xml:space="preserve">To facilitate this, we have revised the application tools and requirements.  You can use the files attached, or get them from our District Internet site. </w:t>
      </w:r>
    </w:p>
    <w:p w:rsidR="00AC18BD" w:rsidRDefault="00AC18BD" w:rsidP="00AC18BD">
      <w:pPr>
        <w:spacing w:after="0"/>
        <w:jc w:val="both"/>
      </w:pPr>
      <w:r>
        <w:t xml:space="preserve"> </w:t>
      </w:r>
    </w:p>
    <w:p w:rsidR="00AC18BD" w:rsidRDefault="00AC18BD" w:rsidP="00AC18BD">
      <w:pPr>
        <w:spacing w:after="0"/>
        <w:jc w:val="both"/>
      </w:pPr>
      <w:r>
        <w:t xml:space="preserve">Applications and the MPO/TPO’s prioritized list of projects are due to FDOT no later than May </w:t>
      </w:r>
      <w:r w:rsidR="00ED3FE1">
        <w:t>5</w:t>
      </w:r>
      <w:r>
        <w:t>, 201</w:t>
      </w:r>
      <w:r w:rsidR="00ED3FE1">
        <w:t>4</w:t>
      </w:r>
      <w:r>
        <w:t>.  Please submit all materials to Ellen Daniel (</w:t>
      </w:r>
      <w:hyperlink r:id="rId10" w:history="1">
        <w:r w:rsidRPr="00AC18BD">
          <w:rPr>
            <w:rStyle w:val="Hyperlink"/>
          </w:rPr>
          <w:t>ellen.daniel@dot.state.fl.us</w:t>
        </w:r>
      </w:hyperlink>
      <w:r>
        <w:t>).</w:t>
      </w:r>
    </w:p>
    <w:sectPr w:rsidR="00AC18BD" w:rsidSect="00AC18B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6A" w:rsidRDefault="009F316A" w:rsidP="004F5CC4">
      <w:pPr>
        <w:spacing w:after="0" w:line="240" w:lineRule="auto"/>
      </w:pPr>
      <w:r>
        <w:separator/>
      </w:r>
    </w:p>
  </w:endnote>
  <w:endnote w:type="continuationSeparator" w:id="0">
    <w:p w:rsidR="009F316A" w:rsidRDefault="009F316A" w:rsidP="004F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4" w:rsidRDefault="004F5CC4" w:rsidP="004F5CC4">
    <w:pPr>
      <w:pStyle w:val="Footer"/>
      <w:jc w:val="center"/>
    </w:pPr>
    <w:r w:rsidRPr="0044301B">
      <w:rPr>
        <w:color w:val="334A73"/>
      </w:rPr>
      <w:t>www.dot.state.fl.us</w:t>
    </w:r>
  </w:p>
  <w:p w:rsidR="004F5CC4" w:rsidRPr="004F5CC4" w:rsidRDefault="004F5CC4" w:rsidP="004F5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6A" w:rsidRDefault="009F316A" w:rsidP="004F5CC4">
      <w:pPr>
        <w:spacing w:after="0" w:line="240" w:lineRule="auto"/>
      </w:pPr>
      <w:r>
        <w:separator/>
      </w:r>
    </w:p>
  </w:footnote>
  <w:footnote w:type="continuationSeparator" w:id="0">
    <w:p w:rsidR="009F316A" w:rsidRDefault="009F316A" w:rsidP="004F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4" w:rsidRDefault="004F5CC4" w:rsidP="004F5CC4">
    <w:pPr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 wp14:anchorId="1AD20EEF" wp14:editId="0793AED6">
          <wp:extent cx="1952625" cy="914400"/>
          <wp:effectExtent l="0" t="0" r="9525" b="0"/>
          <wp:docPr id="1" name="Picture 1" descr="FDOT_Logo_colo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OT_Logo_colo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50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CC4" w:rsidRPr="0097648B" w:rsidRDefault="004F5CC4" w:rsidP="004F5CC4">
    <w:pPr>
      <w:spacing w:after="0" w:line="240" w:lineRule="auto"/>
      <w:jc w:val="center"/>
      <w:rPr>
        <w:color w:val="1F497D"/>
        <w:sz w:val="20"/>
        <w:szCs w:val="20"/>
      </w:rPr>
    </w:pPr>
    <w:r w:rsidRPr="0097648B">
      <w:rPr>
        <w:b/>
        <w:i/>
        <w:color w:val="1F497D"/>
        <w:sz w:val="36"/>
        <w:szCs w:val="36"/>
      </w:rPr>
      <w:t>Florida Department of Transportation</w:t>
    </w:r>
  </w:p>
  <w:tbl>
    <w:tblPr>
      <w:tblW w:w="10920" w:type="dxa"/>
      <w:jc w:val="center"/>
      <w:tblLook w:val="01E0" w:firstRow="1" w:lastRow="1" w:firstColumn="1" w:lastColumn="1" w:noHBand="0" w:noVBand="0"/>
    </w:tblPr>
    <w:tblGrid>
      <w:gridCol w:w="3360"/>
      <w:gridCol w:w="4440"/>
      <w:gridCol w:w="3120"/>
    </w:tblGrid>
    <w:tr w:rsidR="004F5CC4" w:rsidRPr="0097648B" w:rsidTr="006E586E">
      <w:trPr>
        <w:trHeight w:val="80"/>
        <w:jc w:val="center"/>
      </w:trPr>
      <w:tc>
        <w:tcPr>
          <w:tcW w:w="3360" w:type="dxa"/>
        </w:tcPr>
        <w:p w:rsidR="004F5CC4" w:rsidRPr="00B52152" w:rsidRDefault="004F5CC4" w:rsidP="006E586E">
          <w:pPr>
            <w:spacing w:after="0" w:line="240" w:lineRule="auto"/>
            <w:ind w:right="792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t>RICK SCOTT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GOVERNOR</w:t>
          </w:r>
        </w:p>
      </w:tc>
      <w:tc>
        <w:tcPr>
          <w:tcW w:w="4440" w:type="dxa"/>
        </w:tcPr>
        <w:p w:rsidR="004F5CC4" w:rsidRPr="0097648B" w:rsidRDefault="004F5CC4" w:rsidP="006E586E">
          <w:pPr>
            <w:spacing w:after="0" w:line="240" w:lineRule="auto"/>
            <w:jc w:val="center"/>
            <w:rPr>
              <w:rFonts w:eastAsia="Times New Roman"/>
              <w:color w:val="1F497D"/>
              <w:sz w:val="20"/>
              <w:szCs w:val="20"/>
            </w:rPr>
          </w:pPr>
          <w:r>
            <w:rPr>
              <w:rFonts w:eastAsia="Times New Roman"/>
              <w:color w:val="1F497D"/>
              <w:sz w:val="20"/>
              <w:szCs w:val="20"/>
            </w:rPr>
            <w:t>3400 West Commercial Boulevard</w:t>
          </w:r>
          <w:r>
            <w:rPr>
              <w:rFonts w:eastAsia="Times New Roman"/>
              <w:color w:val="1F497D"/>
              <w:sz w:val="20"/>
              <w:szCs w:val="20"/>
            </w:rPr>
            <w:br/>
            <w:t>Fort Lauderdale, FL  33309</w:t>
          </w:r>
        </w:p>
      </w:tc>
      <w:tc>
        <w:tcPr>
          <w:tcW w:w="3120" w:type="dxa"/>
        </w:tcPr>
        <w:p w:rsidR="004F5CC4" w:rsidRPr="00B52152" w:rsidRDefault="004F5CC4" w:rsidP="006E586E">
          <w:pPr>
            <w:spacing w:after="0" w:line="240" w:lineRule="auto"/>
            <w:jc w:val="center"/>
            <w:rPr>
              <w:rFonts w:eastAsia="Times New Roman"/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ANANTH PRASAD, P.E.</w:t>
          </w:r>
          <w:r w:rsidRPr="00B52152">
            <w:rPr>
              <w:rFonts w:eastAsia="Times New Roman"/>
              <w:b/>
              <w:color w:val="002060"/>
              <w:sz w:val="16"/>
              <w:szCs w:val="16"/>
            </w:rPr>
            <w:br/>
            <w:t>SECRETARY</w:t>
          </w:r>
        </w:p>
      </w:tc>
    </w:tr>
  </w:tbl>
  <w:p w:rsidR="004F5CC4" w:rsidRDefault="004F5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D94"/>
    <w:multiLevelType w:val="hybridMultilevel"/>
    <w:tmpl w:val="3F109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754A"/>
    <w:multiLevelType w:val="hybridMultilevel"/>
    <w:tmpl w:val="D0B4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379A"/>
    <w:multiLevelType w:val="hybridMultilevel"/>
    <w:tmpl w:val="AA06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4"/>
    <w:rsid w:val="00062761"/>
    <w:rsid w:val="0007046A"/>
    <w:rsid w:val="000C0A03"/>
    <w:rsid w:val="001C5575"/>
    <w:rsid w:val="002379DD"/>
    <w:rsid w:val="00286CFE"/>
    <w:rsid w:val="00327136"/>
    <w:rsid w:val="004F5CC4"/>
    <w:rsid w:val="005243BB"/>
    <w:rsid w:val="009238FE"/>
    <w:rsid w:val="00961FF5"/>
    <w:rsid w:val="00970A70"/>
    <w:rsid w:val="009F316A"/>
    <w:rsid w:val="00AA04BF"/>
    <w:rsid w:val="00AC18BD"/>
    <w:rsid w:val="00B628DC"/>
    <w:rsid w:val="00B77CFC"/>
    <w:rsid w:val="00CE3B33"/>
    <w:rsid w:val="00CF3D89"/>
    <w:rsid w:val="00D87529"/>
    <w:rsid w:val="00ED3FE1"/>
    <w:rsid w:val="00F2082E"/>
    <w:rsid w:val="00F60A98"/>
    <w:rsid w:val="00F74819"/>
    <w:rsid w:val="00F945BE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4"/>
  </w:style>
  <w:style w:type="paragraph" w:styleId="Footer">
    <w:name w:val="footer"/>
    <w:basedOn w:val="Normal"/>
    <w:link w:val="Foot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4"/>
  </w:style>
  <w:style w:type="paragraph" w:styleId="BalloonText">
    <w:name w:val="Balloon Text"/>
    <w:basedOn w:val="Normal"/>
    <w:link w:val="BalloonTextChar"/>
    <w:uiPriority w:val="99"/>
    <w:semiHidden/>
    <w:unhideWhenUsed/>
    <w:rsid w:val="004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C4"/>
  </w:style>
  <w:style w:type="paragraph" w:styleId="Footer">
    <w:name w:val="footer"/>
    <w:basedOn w:val="Normal"/>
    <w:link w:val="FooterChar"/>
    <w:uiPriority w:val="99"/>
    <w:unhideWhenUsed/>
    <w:rsid w:val="004F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C4"/>
  </w:style>
  <w:style w:type="paragraph" w:styleId="BalloonText">
    <w:name w:val="Balloon Text"/>
    <w:basedOn w:val="Normal"/>
    <w:link w:val="BalloonTextChar"/>
    <w:uiPriority w:val="99"/>
    <w:semiHidden/>
    <w:unhideWhenUsed/>
    <w:rsid w:val="004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pm404ed\AppData\Local\Microsoft\Windows\Temporary%20Internet%20Files\Content.Outlook\GNCM99CD\ellen.daniel@dot.state.fl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.state.fl.us/projectmanagementoffice/Districts/D4LAP/D4LAPfiles/D4%20LAP%20Certification%20Materials/D4LAPCertificationMaterials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FBBD-636F-40C1-84F4-1D60795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dschneid</dc:creator>
  <cp:lastModifiedBy>dschneid</cp:lastModifiedBy>
  <cp:revision>3</cp:revision>
  <dcterms:created xsi:type="dcterms:W3CDTF">2014-02-06T19:44:00Z</dcterms:created>
  <dcterms:modified xsi:type="dcterms:W3CDTF">2014-02-06T20:33:00Z</dcterms:modified>
</cp:coreProperties>
</file>